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_____Microsoft_Office_Excel3.xlsx" ContentType="application/vnd.openxmlformats-officedocument.spreadsheetml.sheet"/>
  <Override PartName="/word/embeddings/_____Microsoft_Office_Excel2.xlsx" ContentType="application/vnd.openxmlformats-officedocument.spreadsheetml.sheet"/>
  <Override PartName="/word/embeddings/_____Microsoft_Office_Excel1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Чебулинский муниципальный округ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Кемеровская область-Кузбасс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Сводный отчет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об оценке налоговых расходов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Чебулинского муниципального образования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за </w:t>
      </w:r>
      <w:r>
        <w:rPr>
          <w:rFonts w:cs="Times New Roman" w:ascii="Times New Roman" w:hAnsi="Times New Roman"/>
          <w:b/>
          <w:sz w:val="32"/>
          <w:szCs w:val="32"/>
          <w:u w:val="single"/>
        </w:rPr>
        <w:t>2022</w:t>
      </w:r>
      <w:r>
        <w:rPr>
          <w:rFonts w:cs="Times New Roman" w:ascii="Times New Roman" w:hAnsi="Times New Roman"/>
          <w:b/>
          <w:sz w:val="32"/>
          <w:szCs w:val="32"/>
        </w:rPr>
        <w:t xml:space="preserve"> год 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2023 год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ОГЛАВЛЕНИЕ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 …………………………………………………………………..</w:t>
      </w:r>
    </w:p>
    <w:p>
      <w:pPr>
        <w:pStyle w:val="ListParagraph"/>
        <w:numPr>
          <w:ilvl w:val="0"/>
          <w:numId w:val="1"/>
        </w:numPr>
        <w:ind w:hanging="426"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Общая характеристика налоговых расходов в 2022 году……….</w:t>
      </w:r>
    </w:p>
    <w:p>
      <w:pPr>
        <w:pStyle w:val="ListParagraph"/>
        <w:numPr>
          <w:ilvl w:val="0"/>
          <w:numId w:val="1"/>
        </w:numPr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Распределение налоговых расходов по муниципальным программам и непрограммным направлениям Чебулинского муниципального округа……</w:t>
      </w:r>
    </w:p>
    <w:p>
      <w:pPr>
        <w:pStyle w:val="ListParagraph"/>
        <w:numPr>
          <w:ilvl w:val="0"/>
          <w:numId w:val="1"/>
        </w:numPr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Распределение налоговых расходов по кураторам налоговых расходов Чебулинского муниципального округа……………………………</w:t>
      </w:r>
    </w:p>
    <w:p>
      <w:pPr>
        <w:pStyle w:val="ListParagraph"/>
        <w:numPr>
          <w:ilvl w:val="0"/>
          <w:numId w:val="1"/>
        </w:numPr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Анализ востребованности налоговых льгот………………..</w:t>
      </w:r>
    </w:p>
    <w:p>
      <w:pPr>
        <w:pStyle w:val="ListParagraph"/>
        <w:numPr>
          <w:ilvl w:val="0"/>
          <w:numId w:val="1"/>
        </w:numPr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оценки налоговых расходов ………………….</w:t>
      </w:r>
    </w:p>
    <w:p>
      <w:pPr>
        <w:pStyle w:val="ListParagraph"/>
        <w:numPr>
          <w:ilvl w:val="0"/>
          <w:numId w:val="1"/>
        </w:numPr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Выводы и решения по результатам оценки налоговых расходов…..</w:t>
      </w:r>
    </w:p>
    <w:p>
      <w:pPr>
        <w:pStyle w:val="ListParagraph"/>
        <w:numPr>
          <w:ilvl w:val="0"/>
          <w:numId w:val="1"/>
        </w:numPr>
        <w:ind w:hanging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Прогноз налоговых расходов…………………………………………..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Список используемых сокращений и аббревиатур</w:t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Постановление № 796 – постановление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Постановление № 773 – постановление Правительства Кемеровской области – Кузбасса от 30.12.2019 № 773 «Об утверждении Положения о формировании перечня налоговых расходов Кемеровской области-Кузбасса и оценке налоговых расходов Кемеровской области-Кузбасса».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Постановление 532-п – постановление Администрации Чебулинского муниципального округа от 06.10.2020 № 532-п «Об утверждении Порядка формирования перечня налоговых расходов и оценки эффективности налоговых расходов Чебулинского муниципального округа» (с изменениями и дополнениями).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Постановление 728-п – постановление Администрации Чебулинского муниципального округа от 03.11.2022 № 728- п «Об утверждении перечня налоговых расходов Чебулинского муниципального округа».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Решение СНД № 130 – Решение Совета народных депутатов Чебулинского муниципального округа от 24.11.2020 № 130 «Об установлении земельного налога на территории Чебулинского муниципального округа»(с изменениями и дополнениями).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Введение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 настоящем отчете приведены сводные результаты оценки налоговых расходов Чебулинского муниципального округа за 2022 год.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 соответствии со ст. 6  Бюджетного кодекса Российской Федерации налоговые расходы публично-правового образования – это выпадающие доходы бюджетов бюджетной системы Российской Федерации, обусловленные 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 социально-экономической политики публично-правового образования, не относящимися к государственным (муниципальным) программам.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В настоящем отчете приведены сведения о налоговых расходах бюджета Чебулинского муниципального округа, обусловленных налоговыми льготами, освобождениями и иными преференциями по налогам, установленными решениями Совета народных депутатов Чебулинского муниципального округа действовавшими в 2022 году.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Оценка налоговых расходов проводилась в соответствии с требованиями следующих нормативно-правовых актов: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 Постановление № 796;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 Постановление № 773;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- Постановление № 532-п.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Оценка проводилась 28.07.2023 года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Оценку налоговых расходов проводил начальник отдела экономики Администрации Чебулинского муниципального округа.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Сведения о выпадающих доходах бюджета Чебулинского муниципального округа в 2022 году приведены на основании данных Межрайонной инспекции Федеральной налоговой службы № 9 по Кемеровской области-Кузбассу по состоянию на 24.07.2023 (письмо от 24.07.2023 № 12-18/08511). Настоящий отчет ссылается на решение  СНД (от 24.11.2020 № 130 «Об установлении земельного налога на территории Чебулинского муниципального округа» в редакции решений), устанавливающие налоговые льготы, освобождения по земельному налогу, а также на Стратегию социально-экономического развития Чебулинского муниципального района до 2035 года, утвержденную Решением Совета народных депутатов Чебулинского муниципального округа от 01.10.2018 № 173, действовавших на 31.12.2022г.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Земельный налог установлен Решением СНД № 130 (с изменениями и дополнениями).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Проведение оценки налоговых расходов Чебулинского муниципального округа позволит решить следующие задачи: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прозрачности бюджетной и налоговой политики;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полного представления об использовании бюджетных ресурсов в разрезе целей муниципальной политики;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повышение эффективности мер налоговой политики за счет решений, принятых по результатам оценки налоговых расходов.</w:t>
      </w:r>
    </w:p>
    <w:p>
      <w:pPr>
        <w:pStyle w:val="ListParagraph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Краткое описание методики оценки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32"/>
          <w:szCs w:val="32"/>
        </w:rPr>
        <w:tab/>
      </w:r>
      <w:r>
        <w:rPr>
          <w:rFonts w:cs="Times New Roman" w:ascii="Times New Roman" w:hAnsi="Times New Roman"/>
          <w:sz w:val="28"/>
          <w:szCs w:val="28"/>
        </w:rPr>
        <w:t>Методика оценки налоговых расходов установлена Постановлением № 532-п. Процесс оценки состоит из следующих этапов:</w:t>
      </w:r>
    </w:p>
    <w:p>
      <w:pPr>
        <w:pStyle w:val="ListParagraph"/>
        <w:numPr>
          <w:ilvl w:val="0"/>
          <w:numId w:val="3"/>
        </w:numPr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Распределение налоговых расходов по непрограммным направлениям социально-экономической политики округа. </w:t>
      </w:r>
    </w:p>
    <w:p>
      <w:pPr>
        <w:pStyle w:val="ListParagraph"/>
        <w:numPr>
          <w:ilvl w:val="0"/>
          <w:numId w:val="3"/>
        </w:numPr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перечня налоговых расходов Чебулинского муниципального округа (ответственный - отдел экономики Администрации Чебулинского муниципального округа): Постановлением Администрации Чебулинского муниципального округа от 03.11.2022 № 728-п утвержден перечень налоговых расходов Чебулинского муниципального округа на 2022 год.</w:t>
      </w:r>
    </w:p>
    <w:p>
      <w:pPr>
        <w:pStyle w:val="ListParagraph"/>
        <w:numPr>
          <w:ilvl w:val="0"/>
          <w:numId w:val="3"/>
        </w:numPr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в Межрайонную инспекцию ФНС России по Кемеровской области сведений о категориях плательщиков, с указанием  обусловливающих соответствующие налоговые расходы Чебулинского муниципального округа нормативных правовых актов Чебулинского муниципального округа, в том числе действовавших в отчетном году и в году, предшествующем отчетному году, и иной информацией (ответственный - отдел экономики Администрации Чебулинского муниципального округа): письмо Администрации Чебулинского муниципального округа от 31.01.2023 № 07-24/17.</w:t>
      </w:r>
    </w:p>
    <w:p>
      <w:pPr>
        <w:pStyle w:val="ListParagraph"/>
        <w:numPr>
          <w:ilvl w:val="0"/>
          <w:numId w:val="3"/>
        </w:numPr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Доведение информации о налоговых расходах: 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сведения о количестве плательщиков, воспользовавшихся льготами;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сведения о суммах выпадающих доходов бюджета округа по каждому налоговому расходу;</w:t>
      </w:r>
    </w:p>
    <w:p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сведения об объемах налогов, задекларированных для уплаты плательщиками в бюджет округа по каждому налоговому расходу;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 кураторов налоговых расходов ответственных за соответствующее непрограммное, нераспределенное направление социально-экономической политики округа;</w:t>
      </w:r>
    </w:p>
    <w:p>
      <w:pPr>
        <w:pStyle w:val="ListParagraph"/>
        <w:numPr>
          <w:ilvl w:val="0"/>
          <w:numId w:val="3"/>
        </w:numPr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целесообразности отдельных налоговых расходов – определение соответствия целей налогового расхода целям социально-экономической политики округа;</w:t>
      </w:r>
    </w:p>
    <w:p>
      <w:pPr>
        <w:pStyle w:val="ListParagraph"/>
        <w:numPr>
          <w:ilvl w:val="0"/>
          <w:numId w:val="3"/>
        </w:numPr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результативности налоговых расходов – определение вклада отдельных налоговых расходов в достижение целей социально-экономической политики округа, не относящихся к муниципальным программам (определение влияния налогового расхода на значение целевого показателя (индикатора) муниципальной программы или иного показателя, характеризующего достижение целей социально-экономической политики округа);</w:t>
      </w:r>
    </w:p>
    <w:p>
      <w:pPr>
        <w:pStyle w:val="ListParagraph"/>
        <w:numPr>
          <w:ilvl w:val="0"/>
          <w:numId w:val="3"/>
        </w:numPr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бюджетной эффективности с точки зрения достижения непрограммных целей социально-экономической политики округа;</w:t>
      </w:r>
    </w:p>
    <w:p>
      <w:pPr>
        <w:pStyle w:val="ListParagraph"/>
        <w:numPr>
          <w:ilvl w:val="0"/>
          <w:numId w:val="3"/>
        </w:numPr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выводов об эффективности налоговых расходов и рекомендаций по сохранению или отмене льгот.</w:t>
      </w:r>
    </w:p>
    <w:p>
      <w:pPr>
        <w:pStyle w:val="ListParagraph"/>
        <w:numPr>
          <w:ilvl w:val="0"/>
          <w:numId w:val="3"/>
        </w:numPr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Формирование сводного отчета об оценке эффективности налоговых расходов.</w:t>
      </w:r>
    </w:p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Следует отметить, что в соответствии с Постановлением № 796, налоговые расходы делятся на 3 целевые категории:</w:t>
      </w:r>
    </w:p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налоговые расходы – целевая категория налоговых расходов, обусловленных необходимостью обеспечения социальной защиты  (поддержки) населения;</w:t>
      </w:r>
    </w:p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Технические налоговые расходы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образования.</w:t>
      </w:r>
    </w:p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284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Общая характеристика налоговых расходов</w:t>
      </w:r>
    </w:p>
    <w:p>
      <w:pPr>
        <w:pStyle w:val="ListParagraph"/>
        <w:ind w:firstLine="284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2022 году решениями Совета народных депутатов Чебулинского муниципального округа установлено 3 налоговых расхода, из них 2 с нулевыми выпадающими доходами, что на уровне отчета за 2021 год. По данным Межрайонной инспекции Федеральной налоговой службы № 9 по Кемеровской области-Кузбассу (письмо от 24.07.2023 № 12-18/08511) за 2022 год по состоянию на 24.07.2023 сумма выпадающих доходов составила 3,4 млн. рублей, за предшествующий отчетному год сумма выпадающих доходов составила – 3,4 млн. рублей (таблица 1) </w:t>
      </w:r>
    </w:p>
    <w:p>
      <w:pPr>
        <w:pStyle w:val="ListParagraph"/>
        <w:ind w:firstLine="284"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284"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</w:t>
      </w:r>
    </w:p>
    <w:tbl>
      <w:tblPr>
        <w:tblStyle w:val="a4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1"/>
        <w:gridCol w:w="2124"/>
        <w:gridCol w:w="1248"/>
        <w:gridCol w:w="1651"/>
        <w:gridCol w:w="1157"/>
      </w:tblGrid>
      <w:tr>
        <w:trPr/>
        <w:tc>
          <w:tcPr>
            <w:tcW w:w="339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Категория плательщиков</w:t>
            </w:r>
          </w:p>
        </w:tc>
        <w:tc>
          <w:tcPr>
            <w:tcW w:w="3372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2021 г.</w:t>
            </w:r>
          </w:p>
        </w:tc>
        <w:tc>
          <w:tcPr>
            <w:tcW w:w="2808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2022 г.</w:t>
            </w:r>
          </w:p>
        </w:tc>
      </w:tr>
      <w:tr>
        <w:trPr/>
        <w:tc>
          <w:tcPr>
            <w:tcW w:w="339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количество налогоплательщиков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сумма (тыс. руб.)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количество налогоплательщиков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сумма (тыс. руб.)</w:t>
            </w:r>
          </w:p>
        </w:tc>
      </w:tr>
      <w:tr>
        <w:trPr/>
        <w:tc>
          <w:tcPr>
            <w:tcW w:w="33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 в виде освобождения от уплаты земельного налога с юридических лиц</w:t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3408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</w:tr>
      <w:tr>
        <w:trPr/>
        <w:tc>
          <w:tcPr>
            <w:tcW w:w="33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органы местного самоуправления </w:t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</w:tr>
      <w:tr>
        <w:trPr/>
        <w:tc>
          <w:tcPr>
            <w:tcW w:w="33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бюджетные учреждения, созданные органами местного самоуправления Чебулинского муниципального округа</w:t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3360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3265</w:t>
            </w:r>
          </w:p>
        </w:tc>
      </w:tr>
      <w:tr>
        <w:trPr/>
        <w:tc>
          <w:tcPr>
            <w:tcW w:w="33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- в виде освобождения от уплаты земельного налога с физических лиц</w:t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3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ветераны и инвалиды Великой Отечественной войны</w:t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3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- в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размере 50 процентов подлежащей уплате налогоплательщиком сумма налога </w:t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3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Российские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организации, осуществляющие деятельность в области информационных технологий, разрабатывающие и реализующие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оказывающих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устанавливающие, тестирующие и сопровождающие программы для ЭВМ, базы данных</w:t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33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  <w:tc>
          <w:tcPr>
            <w:tcW w:w="212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24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3408</w:t>
            </w:r>
          </w:p>
        </w:tc>
        <w:tc>
          <w:tcPr>
            <w:tcW w:w="165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15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</w:tr>
    </w:tbl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Число льготополучателей в 2022 году в сравнении с 2021 годом не осталось без изменений.  </w:t>
      </w:r>
    </w:p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Незначительное снижение предоставленных налоговых расходов произошло по налогу на землю для органов местного самоуправления и бюджетных учреждений, созданных органами местного самоуправления Чебулинского муниципального округа на 41 тыс. рублей, в связи с переоценкой кадастровой стоимости земельных участков.   </w:t>
      </w:r>
    </w:p>
    <w:p>
      <w:pPr>
        <w:pStyle w:val="ListParagraph"/>
        <w:ind w:firstLine="284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Объем налоговых льгот, освобождений и иных преференций</w:t>
      </w:r>
    </w:p>
    <w:p>
      <w:pPr>
        <w:pStyle w:val="ListParagraph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разрезе решений Совета народных депутатов </w:t>
      </w:r>
    </w:p>
    <w:p>
      <w:pPr>
        <w:pStyle w:val="ListParagraph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Чебулинского муниципального округа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2</w:t>
      </w:r>
    </w:p>
    <w:p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(тыс. рублей)</w:t>
      </w:r>
    </w:p>
    <w:tbl>
      <w:tblPr>
        <w:tblStyle w:val="a4"/>
        <w:tblW w:w="9211" w:type="dxa"/>
        <w:jc w:val="left"/>
        <w:tblInd w:w="4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3"/>
        <w:gridCol w:w="2067"/>
        <w:gridCol w:w="1576"/>
        <w:gridCol w:w="2178"/>
        <w:gridCol w:w="1681"/>
        <w:gridCol w:w="1195"/>
      </w:tblGrid>
      <w:tr>
        <w:trPr/>
        <w:tc>
          <w:tcPr>
            <w:tcW w:w="513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2067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Решения Совета народных депутатов</w:t>
            </w:r>
          </w:p>
        </w:tc>
        <w:tc>
          <w:tcPr>
            <w:tcW w:w="5435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95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513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067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5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социальная</w:t>
            </w:r>
          </w:p>
        </w:tc>
        <w:tc>
          <w:tcPr>
            <w:tcW w:w="217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стимулирующая</w:t>
            </w:r>
          </w:p>
        </w:tc>
        <w:tc>
          <w:tcPr>
            <w:tcW w:w="168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техническая</w:t>
            </w:r>
          </w:p>
        </w:tc>
        <w:tc>
          <w:tcPr>
            <w:tcW w:w="1195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  <w:tr>
        <w:trPr/>
        <w:tc>
          <w:tcPr>
            <w:tcW w:w="51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206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130</w:t>
            </w:r>
          </w:p>
        </w:tc>
        <w:tc>
          <w:tcPr>
            <w:tcW w:w="15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17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68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3367</w:t>
            </w:r>
          </w:p>
        </w:tc>
        <w:tc>
          <w:tcPr>
            <w:tcW w:w="119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3367</w:t>
            </w:r>
          </w:p>
        </w:tc>
      </w:tr>
    </w:tbl>
    <w:p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100 % выпадающих доходов составляли технические налоговые расходы.</w:t>
      </w:r>
    </w:p>
    <w:p>
      <w:pPr>
        <w:pStyle w:val="ListParagraph"/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100 % от общего количества налоговых расходов приходится на эффективные налоговые расходы (таблица 3).</w:t>
      </w:r>
    </w:p>
    <w:p>
      <w:pPr>
        <w:pStyle w:val="ListParagraph"/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36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Эффективность налоговых расходов в разрезе решений </w:t>
      </w:r>
    </w:p>
    <w:p>
      <w:pPr>
        <w:pStyle w:val="ListParagraph"/>
        <w:ind w:firstLine="36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Совета народных депутатов Чебулинского муниципального округа</w:t>
      </w:r>
    </w:p>
    <w:p>
      <w:pPr>
        <w:pStyle w:val="ListParagraph"/>
        <w:ind w:firstLine="36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360"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3 </w:t>
      </w:r>
    </w:p>
    <w:tbl>
      <w:tblPr>
        <w:tblStyle w:val="a4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1872"/>
        <w:gridCol w:w="2007"/>
        <w:gridCol w:w="1697"/>
        <w:gridCol w:w="1767"/>
        <w:gridCol w:w="1696"/>
      </w:tblGrid>
      <w:tr>
        <w:trPr/>
        <w:tc>
          <w:tcPr>
            <w:tcW w:w="53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1872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Решения Совета народных депутатов</w:t>
            </w:r>
          </w:p>
        </w:tc>
        <w:tc>
          <w:tcPr>
            <w:tcW w:w="3704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объем предоставленных льгот, тыс. руб.</w:t>
            </w:r>
          </w:p>
        </w:tc>
        <w:tc>
          <w:tcPr>
            <w:tcW w:w="3463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количество предоставленных налоговых расходов, ед.</w:t>
            </w:r>
          </w:p>
        </w:tc>
      </w:tr>
      <w:tr>
        <w:trPr/>
        <w:tc>
          <w:tcPr>
            <w:tcW w:w="53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872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0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эффективные</w:t>
            </w:r>
          </w:p>
        </w:tc>
        <w:tc>
          <w:tcPr>
            <w:tcW w:w="169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неэффективные</w:t>
            </w:r>
          </w:p>
        </w:tc>
        <w:tc>
          <w:tcPr>
            <w:tcW w:w="176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эффективные</w:t>
            </w:r>
          </w:p>
        </w:tc>
        <w:tc>
          <w:tcPr>
            <w:tcW w:w="16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неэффективные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</w:t>
            </w:r>
          </w:p>
        </w:tc>
        <w:tc>
          <w:tcPr>
            <w:tcW w:w="1872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130</w:t>
            </w:r>
          </w:p>
        </w:tc>
        <w:tc>
          <w:tcPr>
            <w:tcW w:w="200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3367</w:t>
            </w:r>
          </w:p>
        </w:tc>
        <w:tc>
          <w:tcPr>
            <w:tcW w:w="169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176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2</w:t>
            </w:r>
          </w:p>
        </w:tc>
        <w:tc>
          <w:tcPr>
            <w:tcW w:w="169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</w:tr>
    </w:tbl>
    <w:p>
      <w:pPr>
        <w:pStyle w:val="ListParagraph"/>
        <w:ind w:firstLine="360"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Основным инструментом реализации налоговой политики  в Чебулинском муниципальном округе в части налоговых расходов является льгота по уплате земельного налога. Сумма выпадающих доходов бюджета по налогу на землю составляет 68,1 % объема поступлений доходов бюджета от налога на землю в 2022 году.  </w:t>
      </w:r>
    </w:p>
    <w:p>
      <w:pPr>
        <w:pStyle w:val="ListParagraph"/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36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36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Динамика роста поступлений в бюджет налога на землю </w:t>
      </w:r>
    </w:p>
    <w:p>
      <w:pPr>
        <w:pStyle w:val="ListParagraph"/>
        <w:ind w:firstLine="360"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предоставления льгот по налогу на землю</w:t>
      </w:r>
    </w:p>
    <w:p>
      <w:pPr>
        <w:pStyle w:val="ListParagraph"/>
        <w:ind w:firstLine="360"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ListParagraph"/>
        <w:ind w:firstLine="360"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Диаграмма 1</w:t>
      </w:r>
    </w:p>
    <w:p>
      <w:pPr>
        <w:pStyle w:val="ListParagraph"/>
        <w:ind w:left="-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5666105" cy="2851785"/>
            <wp:effectExtent l="0" t="0" r="0" b="0"/>
            <wp:docPr id="1" name="Диаграмма 7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ListParagraph"/>
        <w:ind w:left="-709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4</w:t>
      </w:r>
    </w:p>
    <w:tbl>
      <w:tblPr>
        <w:tblStyle w:val="a4"/>
        <w:tblW w:w="10280" w:type="dxa"/>
        <w:jc w:val="left"/>
        <w:tblInd w:w="-5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8"/>
        <w:gridCol w:w="1145"/>
        <w:gridCol w:w="1146"/>
        <w:gridCol w:w="1147"/>
        <w:gridCol w:w="1146"/>
        <w:gridCol w:w="1145"/>
        <w:gridCol w:w="1146"/>
        <w:gridCol w:w="1145"/>
      </w:tblGrid>
      <w:tr>
        <w:trPr/>
        <w:tc>
          <w:tcPr>
            <w:tcW w:w="2258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001" w:leader="none"/>
              </w:tabs>
              <w:spacing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2016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866" w:leader="none"/>
              </w:tabs>
              <w:spacing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2017</w:t>
            </w:r>
          </w:p>
        </w:tc>
        <w:tc>
          <w:tcPr>
            <w:tcW w:w="1147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866" w:leader="none"/>
              </w:tabs>
              <w:spacing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2018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866" w:leader="none"/>
              </w:tabs>
              <w:spacing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2018</w:t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866" w:leader="none"/>
              </w:tabs>
              <w:spacing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2020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866" w:leader="none"/>
              </w:tabs>
              <w:spacing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2021</w:t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866" w:leader="none"/>
              </w:tabs>
              <w:spacing w:before="0" w:after="0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2022</w:t>
            </w:r>
          </w:p>
        </w:tc>
      </w:tr>
      <w:tr>
        <w:trPr/>
        <w:tc>
          <w:tcPr>
            <w:tcW w:w="2258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предоставление льгот по налогу на землю, </w:t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4,95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4,29</w:t>
            </w:r>
          </w:p>
        </w:tc>
        <w:tc>
          <w:tcPr>
            <w:tcW w:w="1147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4,48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4,69</w:t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4,15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3,41</w:t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3,37</w:t>
            </w:r>
          </w:p>
        </w:tc>
      </w:tr>
      <w:tr>
        <w:trPr/>
        <w:tc>
          <w:tcPr>
            <w:tcW w:w="2258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поступление в бюджет земельного налога</w:t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2,71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3,85</w:t>
            </w:r>
          </w:p>
        </w:tc>
        <w:tc>
          <w:tcPr>
            <w:tcW w:w="1147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5,09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4,0</w:t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4,42</w:t>
            </w:r>
          </w:p>
        </w:tc>
        <w:tc>
          <w:tcPr>
            <w:tcW w:w="1146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3,95</w:t>
            </w:r>
          </w:p>
        </w:tc>
        <w:tc>
          <w:tcPr>
            <w:tcW w:w="1145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4,95</w:t>
            </w:r>
          </w:p>
        </w:tc>
      </w:tr>
    </w:tbl>
    <w:p>
      <w:pPr>
        <w:pStyle w:val="ListParagraph"/>
        <w:ind w:left="-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За период с 2016 по 2022 г. (диаграмма 1, таблица 4) налоговые расходы (льготы, представленные по Решению Совета народных депутатов № 130) снизились на 31,9 %, а поступление доходов по земельному налогу увеличилось на 82,7 %.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Объем налоговых льгот, освобождений и преференций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 разрезе видов налогов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5</w:t>
      </w:r>
    </w:p>
    <w:tbl>
      <w:tblPr>
        <w:tblStyle w:val="a4"/>
        <w:tblW w:w="9571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656"/>
        <w:gridCol w:w="1594"/>
        <w:gridCol w:w="1"/>
        <w:gridCol w:w="1843"/>
        <w:gridCol w:w="1419"/>
        <w:gridCol w:w="1523"/>
      </w:tblGrid>
      <w:tr>
        <w:trPr/>
        <w:tc>
          <w:tcPr>
            <w:tcW w:w="534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-142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56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налог</w:t>
            </w:r>
          </w:p>
        </w:tc>
        <w:tc>
          <w:tcPr>
            <w:tcW w:w="4857" w:type="dxa"/>
            <w:gridSpan w:val="4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целевая категория налогового расхода</w:t>
            </w:r>
          </w:p>
        </w:tc>
        <w:tc>
          <w:tcPr>
            <w:tcW w:w="1523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56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5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социальная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стимулирующая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before="0" w:after="0"/>
              <w:ind w:left="0" w:righ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техническая</w:t>
            </w:r>
          </w:p>
        </w:tc>
        <w:tc>
          <w:tcPr>
            <w:tcW w:w="1523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56" w:type="dxa"/>
            <w:tcBorders/>
          </w:tcPr>
          <w:p>
            <w:pPr>
              <w:pStyle w:val="ListParagraph"/>
              <w:widowControl/>
              <w:spacing w:before="0" w:after="0"/>
              <w:ind w:left="0" w:right="-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Земельный налог с юридических лиц</w:t>
            </w:r>
          </w:p>
        </w:tc>
        <w:tc>
          <w:tcPr>
            <w:tcW w:w="1595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1523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56" w:type="dxa"/>
            <w:tcBorders/>
          </w:tcPr>
          <w:p>
            <w:pPr>
              <w:pStyle w:val="ListParagraph"/>
              <w:widowControl/>
              <w:spacing w:before="0" w:after="0"/>
              <w:ind w:left="0" w:right="1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земельный налог с физических лиц </w:t>
            </w:r>
          </w:p>
        </w:tc>
        <w:tc>
          <w:tcPr>
            <w:tcW w:w="1595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523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3190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594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844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419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1523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</w:tr>
    </w:tbl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Доля отдельных целевых категорий в общем объеме налоговых расходов: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100 % общего объема составляют технические налоговые расходы по налогу на землю с юридических лиц.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Динамика объема налоговых расходов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целевым категориям с 2015 по 2021 г.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Диаграмма 2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5486400" cy="3200400"/>
            <wp:effectExtent l="0" t="0" r="0" b="0"/>
            <wp:docPr id="2" name="Диаграмма 9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6</w:t>
      </w:r>
    </w:p>
    <w:tbl>
      <w:tblPr>
        <w:tblStyle w:val="a4"/>
        <w:tblW w:w="10030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86"/>
        <w:gridCol w:w="992"/>
        <w:gridCol w:w="992"/>
        <w:gridCol w:w="992"/>
        <w:gridCol w:w="992"/>
        <w:gridCol w:w="992"/>
        <w:gridCol w:w="992"/>
        <w:gridCol w:w="990"/>
      </w:tblGrid>
      <w:tr>
        <w:trPr>
          <w:trHeight w:val="195" w:hRule="atLeast"/>
        </w:trPr>
        <w:tc>
          <w:tcPr>
            <w:tcW w:w="3086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2016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2017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2018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2019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2020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2021</w:t>
            </w:r>
          </w:p>
        </w:tc>
        <w:tc>
          <w:tcPr>
            <w:tcW w:w="99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2022</w:t>
            </w:r>
          </w:p>
        </w:tc>
      </w:tr>
      <w:tr>
        <w:trPr/>
        <w:tc>
          <w:tcPr>
            <w:tcW w:w="308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технические налоговые расходы, млн. руб.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 w:right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4,95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 w:right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4,29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 w:right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4,48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 w:right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4,69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 w:right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4,15</w:t>
            </w:r>
          </w:p>
        </w:tc>
        <w:tc>
          <w:tcPr>
            <w:tcW w:w="992" w:type="dxa"/>
            <w:tcBorders/>
          </w:tcPr>
          <w:p>
            <w:pPr>
              <w:pStyle w:val="ListParagraph"/>
              <w:widowControl/>
              <w:spacing w:before="0" w:after="0"/>
              <w:ind w:left="0" w:right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3,41</w:t>
            </w:r>
          </w:p>
        </w:tc>
        <w:tc>
          <w:tcPr>
            <w:tcW w:w="990" w:type="dxa"/>
            <w:tcBorders/>
          </w:tcPr>
          <w:p>
            <w:pPr>
              <w:pStyle w:val="ListParagraph"/>
              <w:widowControl/>
              <w:spacing w:before="0" w:after="0"/>
              <w:ind w:left="0" w:right="2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3,37</w:t>
            </w:r>
          </w:p>
        </w:tc>
      </w:tr>
    </w:tbl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период с 2016 по 2022 год (диаграмма 2) по техническим налоговым расходам снижение составляет 31,9 %. Снижение объема технических налоговых расходов объясняется переоценкой стоимости земельных участков.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Распределение налоговых расходов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муниципальным программам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Чебулинского муниципального округа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796, для целей оценки, налоговые расходы муниципального образования соотносятся с целями, установленными соответствующими муниципальными программами. В таблице 7 приведены объемы налоговых расходов в разрезе эффективности налоговых расходов и муниципальных программ.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Объем налоговых льгот, освобождений и иных преференций в разрезе программных, непрограммных и нераспределенных расходов  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7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9855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7"/>
        <w:gridCol w:w="2617"/>
        <w:gridCol w:w="2403"/>
        <w:gridCol w:w="1991"/>
        <w:gridCol w:w="2227"/>
      </w:tblGrid>
      <w:tr>
        <w:trPr/>
        <w:tc>
          <w:tcPr>
            <w:tcW w:w="617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617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 программа, к которой относится налоговый расход</w:t>
            </w:r>
          </w:p>
        </w:tc>
        <w:tc>
          <w:tcPr>
            <w:tcW w:w="2403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объем предоставленных налоговых льгот, тыс. рублей</w:t>
            </w:r>
          </w:p>
        </w:tc>
        <w:tc>
          <w:tcPr>
            <w:tcW w:w="4218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предоставленных налоговых расходов, ед.</w:t>
            </w:r>
          </w:p>
        </w:tc>
      </w:tr>
      <w:tr>
        <w:trPr/>
        <w:tc>
          <w:tcPr>
            <w:tcW w:w="617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17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403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9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эффективные</w:t>
            </w:r>
          </w:p>
        </w:tc>
        <w:tc>
          <w:tcPr>
            <w:tcW w:w="222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неэффективные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 w:right="4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61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 w:right="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муниципальные программы Чебулинского муниципального округа</w:t>
            </w:r>
          </w:p>
        </w:tc>
        <w:tc>
          <w:tcPr>
            <w:tcW w:w="2403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 w:right="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91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 w:right="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22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 w:right="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 w:right="4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61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непрограммные налоговые расходы</w:t>
            </w:r>
          </w:p>
        </w:tc>
        <w:tc>
          <w:tcPr>
            <w:tcW w:w="2403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91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22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 w:right="4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61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нераспределенные налоговые расходы</w:t>
            </w:r>
          </w:p>
        </w:tc>
        <w:tc>
          <w:tcPr>
            <w:tcW w:w="2403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1991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22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1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 w:right="42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61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2403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1991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227" w:type="dxa"/>
            <w:tcBorders/>
          </w:tcPr>
          <w:p>
            <w:pPr>
              <w:pStyle w:val="ListParagraph"/>
              <w:widowControl/>
              <w:spacing w:before="0" w:after="0"/>
              <w:ind w:firstLine="142"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Нераспределенные налоговые расходы занимают 100 % в общем объеме выпадающих расходов бюджета. Нераспределенные налоговые расходы – налоговые расходы Чебулинского муниципального округа, цели которых соответствуют целям (структурным элементам) нескольких муниципальных программ Чебулинского муниципального округа.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таким налоговым расходам относятся освобождения от уплаты земельного налога в отношении земельных участков, предоставленных для непосредственного выполнения возложенных на них функций, в целях устранения (уменьшения) встречных финансовых потоков и оптимизации бюджетных расходов для следующих категорий налогоплательщиков: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органы местного самоуправления;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бюджетные учреждения, созданные органами местного самоуправления Чебулинского муниципального округа;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полном объеме эффективными признаны нераспределенные налоговые расходы.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Кураторы налоговых расходов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Оценку налоговых расходов, результаты которой представлены в настоящем отчете, проводили кураторы налоговых расходов, органы исполнительной власти Чебулинского муниципального округа.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Распределение выпадающих доходов по кураторам налоговых расходов приведено в таблице 8.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Объем налоговых льгот, освобождений и иных преференций в разрезе кураторов налоговых расходов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8</w:t>
      </w:r>
    </w:p>
    <w:tbl>
      <w:tblPr>
        <w:tblStyle w:val="a4"/>
        <w:tblW w:w="9571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4110"/>
        <w:gridCol w:w="2393"/>
        <w:gridCol w:w="2392"/>
      </w:tblGrid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куратор налоговых расходов</w:t>
            </w:r>
          </w:p>
        </w:tc>
        <w:tc>
          <w:tcPr>
            <w:tcW w:w="2393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объем налоговых расходов, тыс. рублей</w:t>
            </w:r>
          </w:p>
        </w:tc>
        <w:tc>
          <w:tcPr>
            <w:tcW w:w="2392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удельный вес налоговых расходов, приходящихся на куратора налоговых расходов, %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Территориальное управление по обеспечению жизнедеятельности Чебулинского муниципального округа </w:t>
            </w:r>
          </w:p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393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2392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Управление социальной защиты населения администрации Чебулинского муниципального округа</w:t>
            </w:r>
          </w:p>
        </w:tc>
        <w:tc>
          <w:tcPr>
            <w:tcW w:w="2393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92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4110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Отдел экономики администрации Чебулинского муниципального округа</w:t>
            </w:r>
          </w:p>
        </w:tc>
        <w:tc>
          <w:tcPr>
            <w:tcW w:w="2393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2392" w:type="dxa"/>
            <w:tcBorders/>
          </w:tcPr>
          <w:p>
            <w:pPr>
              <w:pStyle w:val="ListParagraph"/>
              <w:widowControl/>
              <w:spacing w:before="0" w:after="0"/>
              <w:ind w:left="0" w:righ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куратора – Территориальное управление по обеспечению жизнедеятельности Чебулинского муниципального округа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за счет льгот по уплате земельного налога органами местного самоуправления и бюджетными учреждениями, созданными органами местного самоуправления Чебулинского муниципального округа, по Решению Совета народных депутатов Чебулинского муниципального округа № 130 – приходится 100 % от общего объема налоговых расходов.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 оценки налоговых расходов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Технические налоговые расходы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оценки технических налоговых расходов приведены в таблице 9; более подробные результаты приведены в приложении 1.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Объемы налоговых льгот, освобождений и иных преференций по техническим налоговым расходам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9 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(тыс. рублей)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9571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3153"/>
        <w:gridCol w:w="1914"/>
        <w:gridCol w:w="1914"/>
        <w:gridCol w:w="1915"/>
      </w:tblGrid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15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Совета народных депутатов Чебулинского муниципального округа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эффективные налоговые расходы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неэффективные налоговые расходы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всего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5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130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5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</w:tr>
    </w:tbl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Технические налоговые расходы связаны с предоставлением полного освобождения от налога на землю органов местного самоуправления и  бюджетных учреждений, созданных органами местного самоуправления Чебулинского муниципального округа. Объем технических налоговых расходов составляет 3367 тыс. рублей. За 2022 год налоговой льготой воспользовались 29 муниципальных учреждений и 6 органов местного самоуправления.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Технические налоговые расходы, установленные в целях устранения (уменьшения) встречных финансовых потоков и оптимизации бюджетных расходов признаются результативными, так как не требуется дополнительного финансирования из бюджета муниципального образования (отсутствует факт начисления налогов и соответствующее финансирование).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технические налоговые расходы признаны эффективными.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Социальные налоговые расходы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оценки социальных налоговых расходов приведены в таблице 10, более подробные результаты приведены в приложении 2.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Объем налоговых льгот, освобождений и иных преференций по социальным налоговым расходам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Таблица 10 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9571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3294"/>
        <w:gridCol w:w="1914"/>
        <w:gridCol w:w="1914"/>
        <w:gridCol w:w="1915"/>
      </w:tblGrid>
      <w:tr>
        <w:trPr/>
        <w:tc>
          <w:tcPr>
            <w:tcW w:w="534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294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Решения Совета народных депутатов</w:t>
            </w:r>
          </w:p>
        </w:tc>
        <w:tc>
          <w:tcPr>
            <w:tcW w:w="1914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Объем предоставленных налоговых льгот, тыс. рублей</w:t>
            </w:r>
          </w:p>
        </w:tc>
        <w:tc>
          <w:tcPr>
            <w:tcW w:w="3829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предоставленных налоговых расходов, ед.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94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14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эффективные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неэффективные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29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130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9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налоговые расходы обусловлены необходимостью обеспечения социальной поддержки населения.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социальным налоговым расходам отнесены: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льготы по налогу на землю физических лиц.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результатам оценки эффективности социальных налоговых расходов, по данным Межрайонной инспекции Федеральной налоговой службы № 9 по Кемеровской области-Кузбассу по состоянию на 24.07.2023 (письмо от 24.07.2023 № 12-18/08511), льготой не воспользовались по налогу на землю категории ветераны и инвалиды Великой Отечественной войны. Невостребованность объясняется отсутствием зарегистрированных прав собственности на земельные участки, соответственно льгота не предоставляется.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Льготу необходимо сохранить, как отвечающую общественным интересам и направленную на социальную эффективность, на решение приоритетных задач Чебулинского муниципального округа по повышению уровня и качества жизни населения округа.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Стимулирующие налоговые расходы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Результаты оценки стимулирующих налоговых расходов приведены в таблице 11, более подробные результаты приведены в приложении 1.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Объем налоговых льгот, освобождений и иных преференций по стимулирующим налоговым расходам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11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9571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3294"/>
        <w:gridCol w:w="1914"/>
        <w:gridCol w:w="1914"/>
        <w:gridCol w:w="1915"/>
      </w:tblGrid>
      <w:tr>
        <w:trPr/>
        <w:tc>
          <w:tcPr>
            <w:tcW w:w="534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294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Решения Совета народных депутатов</w:t>
            </w:r>
          </w:p>
        </w:tc>
        <w:tc>
          <w:tcPr>
            <w:tcW w:w="1914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Объем предоставленных налоговых льгот, тыс. рублей</w:t>
            </w:r>
          </w:p>
        </w:tc>
        <w:tc>
          <w:tcPr>
            <w:tcW w:w="3829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предоставленных налоговых расходов, ед.</w:t>
            </w:r>
          </w:p>
        </w:tc>
      </w:tr>
      <w:tr>
        <w:trPr/>
        <w:tc>
          <w:tcPr>
            <w:tcW w:w="534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94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14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эффективные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неэффективные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29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130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3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29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4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915" w:type="dxa"/>
            <w:tcBorders/>
          </w:tcPr>
          <w:p>
            <w:pPr>
              <w:pStyle w:val="ListParagraph"/>
              <w:widowControl/>
              <w:spacing w:before="0" w:after="0"/>
              <w:ind w:left="0" w:right="-10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Стимулирующие налоговые расходы предполагают стимулирование экономической активности субъектов предпринимательской деятельности и последующее увеличение доходов бюджета.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стимулирующим налоговым расходам относятся «</w:t>
      </w:r>
      <w:r>
        <w:rPr>
          <w:rFonts w:cs="Times New Roman" w:ascii="Times New Roman" w:hAnsi="Times New Roman"/>
          <w:sz w:val="28"/>
          <w:szCs w:val="28"/>
        </w:rPr>
        <w:t>налоговая льгота в размере 50 процентов подлежащей уплате налогоплаельщиком суммы налога</w:t>
      </w:r>
      <w:r>
        <w:rPr>
          <w:rFonts w:cs="Times New Roman" w:ascii="Times New Roman" w:hAnsi="Times New Roman"/>
          <w:sz w:val="28"/>
          <w:szCs w:val="28"/>
        </w:rPr>
        <w:t xml:space="preserve">» для </w:t>
      </w:r>
      <w:r>
        <w:rPr>
          <w:rFonts w:cs="Times New Roman" w:ascii="Times New Roman" w:hAnsi="Times New Roman"/>
          <w:sz w:val="28"/>
          <w:szCs w:val="28"/>
        </w:rPr>
        <w:t xml:space="preserve">Российских </w:t>
      </w:r>
      <w:r>
        <w:rPr>
          <w:rFonts w:cs="Times New Roman" w:ascii="Times New Roman" w:hAnsi="Times New Roman"/>
          <w:sz w:val="28"/>
          <w:szCs w:val="28"/>
        </w:rPr>
        <w:t>организаций осуществляющих деятельность в области информационных технологий, разрабатывающих и реализующих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оказывающих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устанавливающие, тестирующие и сопровождающие программы для ЭВМ, базы данных.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Эффективность налоговых льгот оценить не представляется возможным, так как льгота действует  один год и льготой «пока» не воспользовался ни один резидент.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Невостребованность объясняется отсутствием зарегистрированных прав собственности на земельные участки, на которых осуществляется деятельность.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Льготу необходимо сохранить, для сохранения налоговой привлекательности инвестиционной деятельности на территории Чебулинского муниципального округа и стимулирования экономической активности субъектов предпринимательской деятельности и последующее увеличение доходов бюджета.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Выводы о востребованности и предложения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их отмене/сохранению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таблице 12 приведены невостребованные (неэффективные в денежном выражении) налоговые расходы и предложения по их отмене/сохранению, а также предложения по отмене некоторых невостребованных налоговых расходов.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Невостребованные (неэффективные в денежном выражении) налоговые расходы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12</w:t>
      </w:r>
    </w:p>
    <w:tbl>
      <w:tblPr>
        <w:tblStyle w:val="a4"/>
        <w:tblW w:w="9571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04"/>
        <w:gridCol w:w="1666"/>
      </w:tblGrid>
      <w:tr>
        <w:trPr/>
        <w:tc>
          <w:tcPr>
            <w:tcW w:w="7904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краткое наименование налогового расхода</w:t>
            </w:r>
          </w:p>
        </w:tc>
        <w:tc>
          <w:tcPr>
            <w:tcW w:w="1666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предложения куратора</w:t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Решение Совета народных депутатов Чебулинского муниципального округа № 130 </w:t>
            </w:r>
          </w:p>
        </w:tc>
        <w:tc>
          <w:tcPr>
            <w:tcW w:w="166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450" w:leader="none"/>
              </w:tabs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земельному налогу с физических лиц для категорий:</w:t>
            </w:r>
          </w:p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ветераны и инвалиды Великой Отечественной войны</w:t>
            </w:r>
          </w:p>
          <w:p>
            <w:pPr>
              <w:pStyle w:val="ListParagraph"/>
              <w:widowControl/>
              <w:spacing w:before="0" w:after="0"/>
              <w:ind w:left="0" w:right="42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6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450" w:leader="none"/>
              </w:tabs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 xml:space="preserve">сохранить льготу </w:t>
            </w:r>
          </w:p>
        </w:tc>
      </w:tr>
      <w:tr>
        <w:trPr/>
        <w:tc>
          <w:tcPr>
            <w:tcW w:w="7904" w:type="dxa"/>
            <w:tcBorders/>
          </w:tcPr>
          <w:p>
            <w:pPr>
              <w:pStyle w:val="ListParagraph"/>
              <w:widowControl/>
              <w:spacing w:before="0" w:after="0"/>
              <w:ind w:left="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земельному налогу с юридических для категорий:</w:t>
            </w:r>
          </w:p>
          <w:p>
            <w:pPr>
              <w:pStyle w:val="ListParagraph"/>
              <w:widowControl/>
              <w:spacing w:before="0" w:after="0"/>
              <w:ind w:left="0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Российские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организации осуществляющие деятельность в области информационных технологий, разрабатывающие и реализующие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оказывающие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устанавливающие, тестирующие и сопровождающие программы для ЭВМ, базы данных.</w:t>
            </w:r>
          </w:p>
        </w:tc>
        <w:tc>
          <w:tcPr>
            <w:tcW w:w="1666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450" w:leader="none"/>
              </w:tabs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u w:val="single"/>
                <w:lang w:val="ru-RU" w:eastAsia="en-US" w:bidi="ar-SA"/>
              </w:rPr>
              <w:t>сохранить льготу</w:t>
            </w:r>
          </w:p>
        </w:tc>
      </w:tr>
    </w:tbl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Кураторами налоговых расходов внесено предложение о сохранении налоговых расходов в отношении категорий: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«ветераны и инвалиды Великой Отечественной войны», так как не воспользовались льготой на протяжении 201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</w:rPr>
        <w:t>-202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годов;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</w:t>
      </w:r>
      <w:r>
        <w:rPr>
          <w:rFonts w:cs="Times New Roman" w:ascii="Times New Roman" w:hAnsi="Times New Roman"/>
          <w:sz w:val="28"/>
          <w:szCs w:val="28"/>
        </w:rPr>
        <w:t xml:space="preserve">Российские </w:t>
      </w:r>
      <w:r>
        <w:rPr>
          <w:rFonts w:cs="Times New Roman" w:ascii="Times New Roman" w:hAnsi="Times New Roman"/>
          <w:sz w:val="28"/>
          <w:szCs w:val="28"/>
        </w:rPr>
        <w:t>организации осуществляющие деятельность в области информационных технологий, разрабатывающие и реализующие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оказывающие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устанавливающие, тестирующие и сопровождающие программы для ЭВМ, базы данных»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Невостребованность объясняется отсутствием зарегистрированных прав собственности на земельные участки, соответственно льгота не предоставляется.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Льготы необходимо сохранить, как отвечающую общественным интересам и направленную на социальную эффективность, на решение приоритетных задач Чебулинского муниципального округа по повышению уровня и качества жизни населения округа.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Обобщенные результаты оценки налоговых расходов Чебулинского муниципального округа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за 2022 год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налоговых расходов Чебулинского муниципального округа за 2022 год проведена в соответствии с Порядком оценки эффективности налоговых расходов Чебулинского муниципального округа, утвержденной постановлением администрации Чебулинского муниципального округа от 06.10.2020 № 532-п «Об утверждении Порядка формирования перечня налоговых расходов и оценки эффективности налоговых расходов Чебулинского муниципального округа».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2022 году на территории Чебулинского муниципального округа установлены налоговые льготы: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виде освобождения от уплаты земельного налога для 3-х категорий налогоплательщиков (органов местного самоуправления и  бюджетных учреждений, созданных органами местного самоуправления Чебулинского муниципального округа, ветераны и инвалиды Великой Отечественной войны);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</w:t>
      </w:r>
      <w:r>
        <w:rPr>
          <w:rFonts w:cs="Times New Roman" w:ascii="Times New Roman" w:hAnsi="Times New Roman"/>
          <w:sz w:val="28"/>
          <w:szCs w:val="28"/>
        </w:rPr>
        <w:t>размере 50 процентов подлежащей уплате налогоплательщиком суммы налога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sz w:val="28"/>
          <w:szCs w:val="28"/>
        </w:rPr>
        <w:t xml:space="preserve">Российские </w:t>
      </w:r>
      <w:r>
        <w:rPr>
          <w:rFonts w:cs="Times New Roman" w:ascii="Times New Roman" w:hAnsi="Times New Roman"/>
          <w:sz w:val="28"/>
          <w:szCs w:val="28"/>
        </w:rPr>
        <w:t>организации осуществляющие деятельность в области информационных технологий, разрабатывающие и реализующие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оказывающие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устанавливающие, тестирующие и сопровождающие программы для ЭВМ, базы данных).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проведенной оценки эффективности, предоставленные в 2022 году налоговые льготы по уплате земельного налога, являются, в большинстве своем, востребованными – 50 % (2 из 4) и все без исключения имеют положительную социальную эффективность.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постановлением администрации Чебулинского муниципального округа от 06.10.2020 № 532-п «Об утверждении Порядка формирования перечня налоговых расходов и оценки эффективности налоговых расходов Чебулинского муниципального округа» сформирован отчет об оценке налоговых расходов муниципального округа за отчетный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Невостребованными остаются льготы по земельному налогу для категории: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«ветераны и инвалиды Великой Отечественной войны».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Эта категория льготополучателей оказалась не востребована, в большей степени, в связи с естественной убылью количества ветеранов Великой Отечественной войны. Несмотря на невостребованность в настоящее время нельзя исключать прибытии потенциальных льготополучателей в округ.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Социальные налоговые расходы, даже если они не востребованы, имеют исключительно социальную эффективность, позволяющую повысить социальную защищенность данных категорий граждан. Применение налогового расхода способствует снижению налогового бремени на население, повышению уровня и качества жизни граждан, снижению социального неравенства, что соответствует направлению социально-экономической политики Чебулинского муниципального округа.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 невостребованными остаются льготы по земельному налогу для категории: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Российские </w:t>
      </w:r>
      <w:r>
        <w:rPr>
          <w:rFonts w:cs="Times New Roman" w:ascii="Times New Roman" w:hAnsi="Times New Roman"/>
          <w:sz w:val="28"/>
          <w:szCs w:val="28"/>
        </w:rPr>
        <w:t>организации осуществляющие деятельность в области информационных технологий, разрабатывающие и реализующие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оказывающие услуги (выполняющие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устанавливающие, тестирующие и сопровождающие программы для ЭВМ, базы данных».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Невостребованность объясняется отсутствием зарегистрированных прав собственности на земельные участки, соответственно льгота не предоставляется.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Льготы необходимо сохранить, как отвечающую общественным интересам и направленную на социальную эффективность, на решение приоритетных задач Чебулинского муниципального округа по повышению уровня и качества жизни населения округа.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целях оценки бюджетной эффективности налоговых расходов осуществляется сравнительный анализ результативности предоставления льготы  и результативности применения альтернативных механизмов достижения целей муниципальных программ.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Альтернативные механизмы достижения целей муниципальных программ не предусмотрены муниципальными правовыми актами округа.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Потенциально возможный альтернативный механизм достижения целей муниципальных программа и мероприятий социально-экономического развития Чебулинского муниципального округа в целом – предоставление субсидий плательщикам, имеющим право на получение льготы за счет средств бюджета округа. Предоставление субсидии не является более результативным (менее затратным) альтернативным механизмом достижения целей муниципальных программа и мероприятий социально-экономического развития Чебулинского муниципального округа в целом высокодотационного бюджета Чебулинского муниципального округа, так как кроме суммы субсидий равной сумме налоговой льготы из бюджета округа необходимо возместить расходы организационно-административного характера.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налоговой льготы является более результативным для Чебулинского муниципального округа.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целом, период 2016-2022г. характеризуется равномерной динамикой объема налоговых расходов Чебулинского муниципального округа (диаграмма 3). С 2016 года по 2017 год налоговый расход снизился на 13,3 %, в следующий период с 2017 г. по 2019 г. произошло повышение на 9,3 %,  в период с 2019 г. по 2022 г. произошло снижение налогового расхода на 28,1 %. В наибольшей степени изменение объема налоговых расходов произошло за счет изменений технических налоговых расходов по земельному налогу, связанных с переоценкой стоимости, с продажей земельных участков, находящихся в собственности муниципальных учреждений и органов местного самоуправления. 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Динамика поступления налоговых доходов и предоставление налоговых расходов (льгот)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Диаграмма 3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486400" cy="3200400"/>
            <wp:effectExtent l="0" t="0" r="0" b="0"/>
            <wp:docPr id="3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Немного по-другому складывается динамика поступлений налоговых доходов: в 2017 году по сравнению с 2016 годом снижение на 1,8 %, в период с 2017 г. по 2022 г. значительный рост на 123,4 %. 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Сведения о суммах выпадающих доходов бюджета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Чебулинского муниципального округа 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каждому налоговому расходу за период 2019-2021 годы</w:t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Динамика налоговых расходов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13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тыс. рублей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4"/>
        <w:tblW w:w="9855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1"/>
        <w:gridCol w:w="1299"/>
        <w:gridCol w:w="1318"/>
        <w:gridCol w:w="1321"/>
        <w:gridCol w:w="1228"/>
        <w:gridCol w:w="1229"/>
        <w:gridCol w:w="1228"/>
      </w:tblGrid>
      <w:tr>
        <w:trPr/>
        <w:tc>
          <w:tcPr>
            <w:tcW w:w="223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показатели</w:t>
            </w:r>
          </w:p>
        </w:tc>
        <w:tc>
          <w:tcPr>
            <w:tcW w:w="1299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2020</w:t>
            </w:r>
          </w:p>
        </w:tc>
        <w:tc>
          <w:tcPr>
            <w:tcW w:w="1318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2021</w:t>
            </w:r>
          </w:p>
        </w:tc>
        <w:tc>
          <w:tcPr>
            <w:tcW w:w="132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2022</w:t>
            </w:r>
          </w:p>
        </w:tc>
        <w:tc>
          <w:tcPr>
            <w:tcW w:w="3685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динамика / темп роста</w:t>
            </w:r>
          </w:p>
        </w:tc>
      </w:tr>
      <w:tr>
        <w:trPr/>
        <w:tc>
          <w:tcPr>
            <w:tcW w:w="223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99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18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2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2021 к 2020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2022 к 2021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 w:right="-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2022 к 2020</w:t>
            </w:r>
          </w:p>
        </w:tc>
      </w:tr>
      <w:tr>
        <w:trPr>
          <w:trHeight w:val="345" w:hRule="atLeast"/>
        </w:trPr>
        <w:tc>
          <w:tcPr>
            <w:tcW w:w="223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налоговые доходы (исполнение), том числе:</w:t>
            </w:r>
          </w:p>
        </w:tc>
        <w:tc>
          <w:tcPr>
            <w:tcW w:w="1299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104418,0</w:t>
            </w:r>
          </w:p>
        </w:tc>
        <w:tc>
          <w:tcPr>
            <w:tcW w:w="1318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116224,4</w:t>
            </w:r>
          </w:p>
        </w:tc>
        <w:tc>
          <w:tcPr>
            <w:tcW w:w="132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147943,1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11806,2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31718,7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43525,1</w:t>
            </w:r>
          </w:p>
        </w:tc>
      </w:tr>
      <w:tr>
        <w:trPr>
          <w:trHeight w:val="344" w:hRule="atLeast"/>
        </w:trPr>
        <w:tc>
          <w:tcPr>
            <w:tcW w:w="223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99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18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2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111,3 %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127,3 %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141,7 %</w:t>
            </w:r>
          </w:p>
        </w:tc>
      </w:tr>
      <w:tr>
        <w:trPr>
          <w:trHeight w:val="113" w:hRule="atLeast"/>
        </w:trPr>
        <w:tc>
          <w:tcPr>
            <w:tcW w:w="223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земельный налог</w:t>
            </w:r>
          </w:p>
        </w:tc>
        <w:tc>
          <w:tcPr>
            <w:tcW w:w="1299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4415,7</w:t>
            </w:r>
          </w:p>
        </w:tc>
        <w:tc>
          <w:tcPr>
            <w:tcW w:w="1318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3950,7</w:t>
            </w:r>
          </w:p>
        </w:tc>
        <w:tc>
          <w:tcPr>
            <w:tcW w:w="132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4948,0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-465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997,3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532,3</w:t>
            </w:r>
          </w:p>
        </w:tc>
      </w:tr>
      <w:tr>
        <w:trPr>
          <w:trHeight w:val="112" w:hRule="atLeast"/>
        </w:trPr>
        <w:tc>
          <w:tcPr>
            <w:tcW w:w="223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99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18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2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89,5 %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125,2 %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112,1 %</w:t>
            </w:r>
          </w:p>
        </w:tc>
      </w:tr>
      <w:tr>
        <w:trPr>
          <w:trHeight w:val="113" w:hRule="atLeast"/>
        </w:trPr>
        <w:tc>
          <w:tcPr>
            <w:tcW w:w="223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налоговые расходы</w:t>
            </w:r>
          </w:p>
        </w:tc>
        <w:tc>
          <w:tcPr>
            <w:tcW w:w="1299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4153</w:t>
            </w:r>
          </w:p>
        </w:tc>
        <w:tc>
          <w:tcPr>
            <w:tcW w:w="1318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3408</w:t>
            </w:r>
          </w:p>
        </w:tc>
        <w:tc>
          <w:tcPr>
            <w:tcW w:w="1321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-745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-41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- 786</w:t>
            </w:r>
          </w:p>
        </w:tc>
      </w:tr>
      <w:tr>
        <w:trPr>
          <w:trHeight w:val="112" w:hRule="atLeast"/>
        </w:trPr>
        <w:tc>
          <w:tcPr>
            <w:tcW w:w="223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99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18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321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82,1 %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98,8 %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81,1 %</w:t>
            </w:r>
          </w:p>
        </w:tc>
      </w:tr>
      <w:tr>
        <w:trPr/>
        <w:tc>
          <w:tcPr>
            <w:tcW w:w="223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доля налоговых расходов в общем объеме налоговых доходов бюджета</w:t>
            </w:r>
          </w:p>
        </w:tc>
        <w:tc>
          <w:tcPr>
            <w:tcW w:w="129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4,0 %</w:t>
            </w:r>
          </w:p>
        </w:tc>
        <w:tc>
          <w:tcPr>
            <w:tcW w:w="131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2,9 %</w:t>
            </w:r>
          </w:p>
        </w:tc>
        <w:tc>
          <w:tcPr>
            <w:tcW w:w="132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2,3 %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72,5 %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79,3 %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57,5 %</w:t>
            </w:r>
          </w:p>
        </w:tc>
      </w:tr>
      <w:tr>
        <w:trPr/>
        <w:tc>
          <w:tcPr>
            <w:tcW w:w="223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количество льготополучателей, ед., в том числе:</w:t>
            </w:r>
          </w:p>
        </w:tc>
        <w:tc>
          <w:tcPr>
            <w:tcW w:w="129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31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32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102,9 %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100 %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102,9 %</w:t>
            </w:r>
          </w:p>
        </w:tc>
      </w:tr>
      <w:tr>
        <w:trPr/>
        <w:tc>
          <w:tcPr>
            <w:tcW w:w="223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технические</w:t>
            </w:r>
          </w:p>
        </w:tc>
        <w:tc>
          <w:tcPr>
            <w:tcW w:w="129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34</w:t>
            </w:r>
          </w:p>
        </w:tc>
        <w:tc>
          <w:tcPr>
            <w:tcW w:w="131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32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35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102,9 %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100 %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102,9 %</w:t>
            </w:r>
          </w:p>
        </w:tc>
      </w:tr>
      <w:tr>
        <w:trPr/>
        <w:tc>
          <w:tcPr>
            <w:tcW w:w="223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социальные</w:t>
            </w:r>
          </w:p>
        </w:tc>
        <w:tc>
          <w:tcPr>
            <w:tcW w:w="129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1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2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223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стимулирующие</w:t>
            </w:r>
          </w:p>
        </w:tc>
        <w:tc>
          <w:tcPr>
            <w:tcW w:w="129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1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321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29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122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таблице 13 приведена динамика налоговых расходов.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целом налоговые доходы округа возросли в 2022 году по сравнению с 2020 годом на 41,7 % или на 43525,1 тыс. рублей.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этом за период с 2020 по 2023 года доля налоговых расходов снизилась с 4,0 % до 2,3 %, а поступления по налогу за землю возросли на 12,1 %.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налоговых расходов за отчетный 2022 год произошло за счет снижения технических налоговых расходов на 786 тыс. рублей, при этом количество льготополучателей остается стабильным за этот период на уровне 35.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851" w:left="-284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Объем предоставленных налоговых льгот за 2021-2022 годы и прогноз на плановый период 2023-2025 годов по каждому налоговому расходу Чебулинского муниципального округа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13</w:t>
      </w:r>
    </w:p>
    <w:tbl>
      <w:tblPr>
        <w:tblStyle w:val="a4"/>
        <w:tblW w:w="9855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0"/>
        <w:gridCol w:w="1773"/>
        <w:gridCol w:w="3306"/>
        <w:gridCol w:w="876"/>
        <w:gridCol w:w="847"/>
        <w:gridCol w:w="850"/>
        <w:gridCol w:w="847"/>
        <w:gridCol w:w="814"/>
      </w:tblGrid>
      <w:tr>
        <w:trPr/>
        <w:tc>
          <w:tcPr>
            <w:tcW w:w="540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773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вид налога</w:t>
            </w:r>
          </w:p>
        </w:tc>
        <w:tc>
          <w:tcPr>
            <w:tcW w:w="3306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налоговой льготы</w:t>
            </w:r>
          </w:p>
        </w:tc>
        <w:tc>
          <w:tcPr>
            <w:tcW w:w="4234" w:type="dxa"/>
            <w:gridSpan w:val="5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объем налоговых расходов, тыс. рублей</w:t>
            </w:r>
          </w:p>
        </w:tc>
      </w:tr>
      <w:tr>
        <w:trPr/>
        <w:tc>
          <w:tcPr>
            <w:tcW w:w="54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73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06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23" w:type="dxa"/>
            <w:gridSpan w:val="2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факт</w:t>
            </w:r>
          </w:p>
        </w:tc>
        <w:tc>
          <w:tcPr>
            <w:tcW w:w="2511" w:type="dxa"/>
            <w:gridSpan w:val="3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прогноз</w:t>
            </w:r>
          </w:p>
        </w:tc>
      </w:tr>
      <w:tr>
        <w:trPr/>
        <w:tc>
          <w:tcPr>
            <w:tcW w:w="54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73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06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2021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2022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2023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2024</w:t>
            </w:r>
          </w:p>
        </w:tc>
        <w:tc>
          <w:tcPr>
            <w:tcW w:w="8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2025</w:t>
            </w:r>
          </w:p>
        </w:tc>
      </w:tr>
      <w:tr>
        <w:trPr/>
        <w:tc>
          <w:tcPr>
            <w:tcW w:w="540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773" w:type="dxa"/>
            <w:vMerge w:val="restart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земельный налог с юридических лиц</w:t>
            </w:r>
          </w:p>
        </w:tc>
        <w:tc>
          <w:tcPr>
            <w:tcW w:w="330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п.4. Освобождаются от налогообложения Органы местного самоуправления</w:t>
            </w:r>
          </w:p>
        </w:tc>
        <w:tc>
          <w:tcPr>
            <w:tcW w:w="8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48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  <w:tc>
          <w:tcPr>
            <w:tcW w:w="8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</w:tr>
      <w:tr>
        <w:trPr/>
        <w:tc>
          <w:tcPr>
            <w:tcW w:w="54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73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0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п.4. Освобождаются от налогообложения бюджетные учреждения, созданные органами местного самоуправления Чебулинского муниципального округа</w:t>
            </w:r>
          </w:p>
        </w:tc>
        <w:tc>
          <w:tcPr>
            <w:tcW w:w="8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3360,0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3265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3265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3265</w:t>
            </w:r>
          </w:p>
        </w:tc>
        <w:tc>
          <w:tcPr>
            <w:tcW w:w="8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3265</w:t>
            </w:r>
          </w:p>
        </w:tc>
      </w:tr>
      <w:tr>
        <w:trPr/>
        <w:tc>
          <w:tcPr>
            <w:tcW w:w="540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73" w:type="dxa"/>
            <w:vMerge w:val="continue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30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п.4.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1. налоговая льгота предоставляется в размере 50 процентов подлежащей уплате налогоплательщиком суммы налога Российским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организаци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осуществляющи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деятельность в области информационных технологий, разрабатывающи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и реализующи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услуги (выполняющи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устанавливающих, тестирующих и сопровождающих программы для ЭВМ, базы данных</w:t>
            </w:r>
          </w:p>
        </w:tc>
        <w:tc>
          <w:tcPr>
            <w:tcW w:w="8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7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330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3408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  <w:tc>
          <w:tcPr>
            <w:tcW w:w="81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3367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177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земельный налог с физических лиц</w:t>
            </w:r>
          </w:p>
        </w:tc>
        <w:tc>
          <w:tcPr>
            <w:tcW w:w="330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 4 Освобождаются от налогообложения ветераны и инвалиды Великой Отечественной войны</w:t>
            </w:r>
          </w:p>
        </w:tc>
        <w:tc>
          <w:tcPr>
            <w:tcW w:w="8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7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330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5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47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814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Результаты оценки налоговых расходов Чебулинского муниципального округа за 2022 год приведены в приложении 1. </w:t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ListParagraph"/>
        <w:ind w:firstLine="851"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ind w:firstLine="851" w:left="-284"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Результаты оценки налоговых расходов</w:t>
      </w:r>
    </w:p>
    <w:p>
      <w:pPr>
        <w:pStyle w:val="ListParagraph"/>
        <w:ind w:firstLine="851" w:left="-284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ind w:firstLine="851" w:left="-284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4"/>
        <w:tblW w:w="15070" w:type="dxa"/>
        <w:jc w:val="left"/>
        <w:tblInd w:w="-1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1843"/>
        <w:gridCol w:w="1843"/>
        <w:gridCol w:w="1700"/>
        <w:gridCol w:w="2268"/>
        <w:gridCol w:w="1985"/>
        <w:gridCol w:w="1560"/>
        <w:gridCol w:w="1493"/>
      </w:tblGrid>
      <w:tr>
        <w:trPr/>
        <w:tc>
          <w:tcPr>
            <w:tcW w:w="23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Решение Совета народных депутатов Чебулинского муниципального округа, устанавливающее льготу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структурная единица решения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краткое наименование льготы</w:t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налог</w:t>
            </w:r>
          </w:p>
        </w:tc>
        <w:tc>
          <w:tcPr>
            <w:tcW w:w="226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 программа/ непрограммные расходы/ нераспределенные расходы</w:t>
            </w:r>
          </w:p>
        </w:tc>
        <w:tc>
          <w:tcPr>
            <w:tcW w:w="198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куратор налогового расхода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эффективная льгота (да/нет)</w:t>
            </w:r>
          </w:p>
        </w:tc>
        <w:tc>
          <w:tcPr>
            <w:tcW w:w="149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объем налоговых расходов в 2022г., тыс. рублей</w:t>
            </w:r>
          </w:p>
        </w:tc>
      </w:tr>
      <w:tr>
        <w:trPr/>
        <w:tc>
          <w:tcPr>
            <w:tcW w:w="15068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технические налоговые расходы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24.11.2020 № 130 «Об установлении земельного налога на территории Чебулинского муниципального округа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п.4/абз.3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освобождение от налогообложения Органы местного самоуправления</w:t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земельный налог</w:t>
            </w:r>
          </w:p>
        </w:tc>
        <w:tc>
          <w:tcPr>
            <w:tcW w:w="226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нераспределенные налоговые расходы</w:t>
            </w:r>
          </w:p>
        </w:tc>
        <w:tc>
          <w:tcPr>
            <w:tcW w:w="198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Территориальное управление по обеспечению жизнедеятельности Чебулинского муниципального округа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</w:t>
            </w:r>
          </w:p>
        </w:tc>
        <w:tc>
          <w:tcPr>
            <w:tcW w:w="149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102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24.11.2020 № 130 «Об установлении земельного налога на территории Чебулинского муниципального округа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п.4/абз.4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освобождение от налогообложения Бюджетные учреждения, созданные органами местного самоуправления Чебулинского муниципального округа</w:t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земельный налог</w:t>
            </w:r>
          </w:p>
        </w:tc>
        <w:tc>
          <w:tcPr>
            <w:tcW w:w="226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нераспределенные налоговые расходы</w:t>
            </w:r>
          </w:p>
        </w:tc>
        <w:tc>
          <w:tcPr>
            <w:tcW w:w="198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Территориальное управление по обеспечению жизнедеятельности Чебулинского муниципального округа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</w:t>
            </w:r>
          </w:p>
        </w:tc>
        <w:tc>
          <w:tcPr>
            <w:tcW w:w="149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3265</w:t>
            </w:r>
          </w:p>
        </w:tc>
      </w:tr>
      <w:tr>
        <w:trPr/>
        <w:tc>
          <w:tcPr>
            <w:tcW w:w="15068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социальные налоговые расходы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24.11.2020 № 130 «Об установлении земельного налога на территории Чебулинского муниципального округа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п.4/абз.5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освобождение от налогообложения Ветераны и инвалиды Великой Отечественной войны</w:t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земельный налог</w:t>
            </w:r>
          </w:p>
        </w:tc>
        <w:tc>
          <w:tcPr>
            <w:tcW w:w="226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Муниципальная программа «Социальная поддержка населения Чебулинского муниципального округа»</w:t>
            </w:r>
          </w:p>
        </w:tc>
        <w:tc>
          <w:tcPr>
            <w:tcW w:w="198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Управление социальной защиты населения администрации Чебулинского муниципального округа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</w:t>
            </w:r>
          </w:p>
        </w:tc>
        <w:tc>
          <w:tcPr>
            <w:tcW w:w="149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  <w:tr>
        <w:trPr/>
        <w:tc>
          <w:tcPr>
            <w:tcW w:w="15068" w:type="dxa"/>
            <w:gridSpan w:val="8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стимулирующие налоговые расходы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 24.11.2020 № 130 «Об установлении земельного налога на территории Чебулинского муниципального округа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п.4.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84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Налоговая льгота предоставляетя в размере 50 процентов подлежащей уплате налогоплательщиком суммы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налога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Российским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организаци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ям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осуществляющи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деятельность в области информационных технологий, разрабатывающи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и реализующи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услуги (выполняющи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, тестирующи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и сопровождающи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м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 программы для ЭВМ, базы данных</w:t>
            </w:r>
          </w:p>
        </w:tc>
        <w:tc>
          <w:tcPr>
            <w:tcW w:w="170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земельный налог</w:t>
            </w:r>
          </w:p>
        </w:tc>
        <w:tc>
          <w:tcPr>
            <w:tcW w:w="2268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нераспределенные налоговые расходы</w:t>
            </w:r>
          </w:p>
        </w:tc>
        <w:tc>
          <w:tcPr>
            <w:tcW w:w="1985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Отдел экономики администрации Чебулинского муниципального округа</w:t>
            </w:r>
          </w:p>
        </w:tc>
        <w:tc>
          <w:tcPr>
            <w:tcW w:w="1560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</w:t>
            </w:r>
          </w:p>
        </w:tc>
        <w:tc>
          <w:tcPr>
            <w:tcW w:w="1493" w:type="dxa"/>
            <w:tcBorders/>
          </w:tcPr>
          <w:p>
            <w:pPr>
              <w:pStyle w:val="ListParagraph"/>
              <w:widowControl/>
              <w:spacing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ListParagraph"/>
        <w:ind w:firstLine="851" w:left="-284"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595b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34753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f649a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34753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813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3.xlsx"/><Relationship Id="rId2" Type="http://schemas.openxmlformats.org/officeDocument/2006/relationships/chartUserShapes" Target="../drawings/drawing3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поступление в бюджет земельного налога, млн. руб.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2.71</c:v>
                </c:pt>
                <c:pt idx="1">
                  <c:v>3.85</c:v>
                </c:pt>
                <c:pt idx="2">
                  <c:v>5.09</c:v>
                </c:pt>
                <c:pt idx="3">
                  <c:v>4</c:v>
                </c:pt>
                <c:pt idx="4">
                  <c:v>4.42</c:v>
                </c:pt>
                <c:pt idx="5">
                  <c:v>3.95</c:v>
                </c:pt>
                <c:pt idx="6">
                  <c:v>4.95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предоставление льгот по налогу на землю, млн. руб.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4.95</c:v>
                </c:pt>
                <c:pt idx="1">
                  <c:v>4.29</c:v>
                </c:pt>
                <c:pt idx="2">
                  <c:v>4.48</c:v>
                </c:pt>
                <c:pt idx="3">
                  <c:v>4.69</c:v>
                </c:pt>
                <c:pt idx="4">
                  <c:v>4.15</c:v>
                </c:pt>
                <c:pt idx="5">
                  <c:v>3.41</c:v>
                </c:pt>
                <c:pt idx="6">
                  <c:v>3.37</c:v>
                </c:pt>
              </c:numCache>
            </c:numRef>
          </c:val>
        </c:ser>
        <c:gapWidth val="150"/>
        <c:overlap val="100"/>
        <c:axId val="43084591"/>
        <c:axId val="66924340"/>
      </c:barChart>
      <c:catAx>
        <c:axId val="43084591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6924340"/>
        <c:crosses val="autoZero"/>
        <c:auto val="1"/>
        <c:lblAlgn val="ctr"/>
        <c:lblOffset val="100"/>
        <c:noMultiLvlLbl val="0"/>
      </c:catAx>
      <c:valAx>
        <c:axId val="6692434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3084591"/>
        <c:crosses val="autoZero"/>
        <c:crossBetween val="between"/>
      </c:valAx>
      <c:spPr>
        <a:noFill/>
        <a:ln w="0">
          <a:noFill/>
        </a:ln>
      </c:spPr>
    </c:plotArea>
    <c:legend>
      <c:legendPos val="r"/>
      <c:layout>
        <c:manualLayout>
          <c:xMode val="edge"/>
          <c:yMode val="edge"/>
          <c:x val="0.7035625"/>
          <c:y val="0.177555555555556"/>
          <c:w val="0.296393524595287"/>
          <c:h val="0.522502500277809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технические налоговые расходы, млн. руб.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технические налоговые расходы, млн. руб.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4.95</c:v>
                </c:pt>
                <c:pt idx="1">
                  <c:v>4.29</c:v>
                </c:pt>
                <c:pt idx="2">
                  <c:v>4.48</c:v>
                </c:pt>
                <c:pt idx="3">
                  <c:v>4.69</c:v>
                </c:pt>
                <c:pt idx="4">
                  <c:v>4.15</c:v>
                </c:pt>
                <c:pt idx="5">
                  <c:v>3.41</c:v>
                </c:pt>
                <c:pt idx="6">
                  <c:v>3.37</c:v>
                </c:pt>
              </c:numCache>
            </c:numRef>
          </c:val>
        </c:ser>
        <c:gapWidth val="150"/>
        <c:overlap val="100"/>
        <c:axId val="62552970"/>
        <c:axId val="86606100"/>
      </c:barChart>
      <c:catAx>
        <c:axId val="6255297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86606100"/>
        <c:crosses val="autoZero"/>
        <c:auto val="1"/>
        <c:lblAlgn val="ctr"/>
        <c:lblOffset val="100"/>
        <c:noMultiLvlLbl val="0"/>
      </c:catAx>
      <c:valAx>
        <c:axId val="8660610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2552970"/>
        <c:crosses val="autoZero"/>
        <c:crossBetween val="between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налоговые доходы, млн. рублей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67.4</c:v>
                </c:pt>
                <c:pt idx="1">
                  <c:v>66.2</c:v>
                </c:pt>
                <c:pt idx="2">
                  <c:v>81.7</c:v>
                </c:pt>
                <c:pt idx="3">
                  <c:v>86.8</c:v>
                </c:pt>
                <c:pt idx="4">
                  <c:v>104.4</c:v>
                </c:pt>
                <c:pt idx="5">
                  <c:v>116.2</c:v>
                </c:pt>
                <c:pt idx="6">
                  <c:v>147.9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налоговые расходы, млн. рублей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4.95</c:v>
                </c:pt>
                <c:pt idx="1">
                  <c:v>4.29</c:v>
                </c:pt>
                <c:pt idx="2">
                  <c:v>4.48</c:v>
                </c:pt>
                <c:pt idx="3">
                  <c:v>4.69</c:v>
                </c:pt>
                <c:pt idx="4">
                  <c:v>4.15</c:v>
                </c:pt>
                <c:pt idx="5">
                  <c:v>3.41</c:v>
                </c:pt>
                <c:pt idx="6">
                  <c:v>3.37</c:v>
                </c:pt>
              </c:numCache>
            </c:numRef>
          </c:val>
        </c:ser>
        <c:gapWidth val="150"/>
        <c:shape val="box"/>
        <c:axId val="2343720"/>
        <c:axId val="81751240"/>
        <c:axId val="0"/>
      </c:bar3DChart>
      <c:catAx>
        <c:axId val="2343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81751240"/>
        <c:crosses val="autoZero"/>
        <c:auto val="1"/>
        <c:lblAlgn val="ctr"/>
        <c:lblOffset val="100"/>
        <c:noMultiLvlLbl val="0"/>
      </c:catAx>
      <c:valAx>
        <c:axId val="8175124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343720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  <c:userShapes r:id="rId2"/>
</c:chartSpace>
</file>

<file path=word/drawings/drawing3.xml><?xml version="1.0" encoding="utf-8"?>
<c:userShapes xmlns:cdr="http://schemas.openxmlformats.org/drawingml/2006/chartDrawing" xmlns:a="http://schemas.openxmlformats.org/drawingml/2006/main" xmlns:c="http://schemas.openxmlformats.org/drawingml/2006/chart" xmlns:r="http://schemas.openxmlformats.org/officeDocument/2006/relationships">
  <cdr:relSizeAnchor>
    <cdr:from>
      <cdr:x>0.0689677800380602</cdr:x>
      <cdr:y>0.41478231522106</cdr:y>
    </cdr:from>
    <cdr:to>
      <cdr:x>0.157293785681475</cdr:x>
      <cdr:y>0.504106198672517</cdr:y>
    </cdr:to>
    <cdr:sp>
      <cdr:nvSpPr>
        <cdr:cNvPr id="0" name="TextBox 1"/>
        <cdr:cNvSpPr/>
      </cdr:nvSpPr>
      <cdr:spPr>
        <a:xfrm>
          <a:off x="0" y="0"/>
          <a:ext cx="484560" cy="28584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67,4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0.115361900387165</cdr:x>
      <cdr:y>0.807402407469907</cdr:y>
    </cdr:from>
    <cdr:to>
      <cdr:x>0.1848546492552</cdr:x>
      <cdr:y>0.896726290921364</cdr:y>
    </cdr:to>
    <cdr:sp>
      <cdr:nvSpPr>
        <cdr:cNvPr id="1" name="TextBox 2"/>
        <cdr:cNvSpPr/>
      </cdr:nvSpPr>
      <cdr:spPr>
        <a:xfrm>
          <a:off x="0" y="0"/>
          <a:ext cx="381240" cy="28584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4,95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0.164577728197388</cdr:x>
      <cdr:y>0.419844751940601</cdr:y>
    </cdr:from>
    <cdr:to>
      <cdr:x>0.235514141347857</cdr:x>
      <cdr:y>0.504106198672517</cdr:y>
    </cdr:to>
    <cdr:sp>
      <cdr:nvSpPr>
        <cdr:cNvPr id="2" name="TextBox 3"/>
        <cdr:cNvSpPr/>
      </cdr:nvSpPr>
      <cdr:spPr>
        <a:xfrm>
          <a:off x="0" y="0"/>
          <a:ext cx="389160" cy="26964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66,2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0.247194697814817</cdr:x>
      <cdr:y>0.372595342558218</cdr:y>
    </cdr:from>
    <cdr:to>
      <cdr:x>0.321018439530153</cdr:x>
      <cdr:y>0.439532005849927</cdr:y>
    </cdr:to>
    <cdr:sp>
      <cdr:nvSpPr>
        <cdr:cNvPr id="3" name="TextBox 4"/>
        <cdr:cNvSpPr/>
      </cdr:nvSpPr>
      <cdr:spPr>
        <a:xfrm>
          <a:off x="0" y="0"/>
          <a:ext cx="405000" cy="21420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81,7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0.321149681737647</cdr:x>
      <cdr:y>0.337833277084036</cdr:y>
    </cdr:from>
    <cdr:to>
      <cdr:x>0.38919876632325</cdr:x>
      <cdr:y>0.414669816627292</cdr:y>
    </cdr:to>
    <cdr:sp>
      <cdr:nvSpPr>
        <cdr:cNvPr id="4" name="TextBox 5"/>
        <cdr:cNvSpPr/>
      </cdr:nvSpPr>
      <cdr:spPr>
        <a:xfrm>
          <a:off x="0" y="0"/>
          <a:ext cx="373320" cy="24588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86,8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0.402257365968896</cdr:x>
      <cdr:y>0.253346833164585</cdr:y>
    </cdr:from>
    <cdr:to>
      <cdr:x>0.50075464269309</cdr:x>
      <cdr:y>0.337608279896501</cdr:y>
    </cdr:to>
    <cdr:sp>
      <cdr:nvSpPr>
        <cdr:cNvPr id="5" name="TextBox 6"/>
        <cdr:cNvSpPr/>
      </cdr:nvSpPr>
      <cdr:spPr>
        <a:xfrm>
          <a:off x="0" y="0"/>
          <a:ext cx="540360" cy="26964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104,4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0.480543342739025</cdr:x>
      <cdr:y>0.198672516593543</cdr:y>
    </cdr:from>
    <cdr:to>
      <cdr:x>0.563094691252707</cdr:x>
      <cdr:y>0.265609179885251</cdr:y>
    </cdr:to>
    <cdr:sp>
      <cdr:nvSpPr>
        <cdr:cNvPr id="6" name="TextBox 7"/>
        <cdr:cNvSpPr/>
      </cdr:nvSpPr>
      <cdr:spPr>
        <a:xfrm>
          <a:off x="0" y="0"/>
          <a:ext cx="452880" cy="21420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116,2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0.555876369840541</cdr:x>
      <cdr:y>0.0371245359433007</cdr:y>
    </cdr:from>
    <cdr:to>
      <cdr:x>0.644136754380209</cdr:x>
      <cdr:y>0.11148610642367</cdr:y>
    </cdr:to>
    <cdr:sp>
      <cdr:nvSpPr>
        <cdr:cNvPr id="7" name="TextBox 8"/>
        <cdr:cNvSpPr/>
      </cdr:nvSpPr>
      <cdr:spPr>
        <a:xfrm>
          <a:off x="0" y="0"/>
          <a:ext cx="484200" cy="23796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147,9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0.19502592033598</cdr:x>
      <cdr:y>0.791315108561143</cdr:y>
    </cdr:from>
    <cdr:to>
      <cdr:x>0.270293326333749</cdr:x>
      <cdr:y>0.999775002812465</cdr:y>
    </cdr:to>
    <cdr:sp>
      <cdr:nvSpPr>
        <cdr:cNvPr id="8" name="TextBox 9"/>
        <cdr:cNvSpPr/>
      </cdr:nvSpPr>
      <cdr:spPr>
        <a:xfrm>
          <a:off x="0" y="0"/>
          <a:ext cx="412920" cy="66708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4,29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0.274755561388543</cdr:x>
      <cdr:y>0.782540218247272</cdr:y>
    </cdr:from>
    <cdr:to>
      <cdr:x>0.347070017717698</cdr:x>
      <cdr:y>0.842051974350321</cdr:y>
    </cdr:to>
    <cdr:sp>
      <cdr:nvSpPr>
        <cdr:cNvPr id="9" name="TextBox 10"/>
        <cdr:cNvSpPr/>
      </cdr:nvSpPr>
      <cdr:spPr>
        <a:xfrm>
          <a:off x="0" y="0"/>
          <a:ext cx="396720" cy="19044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4,48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0.363147188135704</cdr:x>
      <cdr:y>0.782540218247272</cdr:y>
    </cdr:from>
    <cdr:to>
      <cdr:x>0.438414594133473</cdr:x>
      <cdr:y>0.866801664979188</cdr:y>
    </cdr:to>
    <cdr:sp>
      <cdr:nvSpPr>
        <cdr:cNvPr id="10" name="TextBox 11"/>
        <cdr:cNvSpPr/>
      </cdr:nvSpPr>
      <cdr:spPr>
        <a:xfrm>
          <a:off x="0" y="0"/>
          <a:ext cx="412920" cy="26964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4,69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0.439989500623401</cdr:x>
      <cdr:y>0.767577905276184</cdr:y>
    </cdr:from>
    <cdr:to>
      <cdr:x>0.508038585209003</cdr:x>
      <cdr:y>0.831927100911239</cdr:y>
    </cdr:to>
    <cdr:sp>
      <cdr:nvSpPr>
        <cdr:cNvPr id="11" name="TextBox 12"/>
        <cdr:cNvSpPr/>
      </cdr:nvSpPr>
      <cdr:spPr>
        <a:xfrm>
          <a:off x="0" y="0"/>
          <a:ext cx="373320" cy="20592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4,15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0.522606470240829</cdr:x>
      <cdr:y>0.780065249184385</cdr:y>
    </cdr:from>
    <cdr:to>
      <cdr:x>0.589211890543999</cdr:x>
      <cdr:y>0.842051974350321</cdr:y>
    </cdr:to>
    <cdr:sp>
      <cdr:nvSpPr>
        <cdr:cNvPr id="12" name="TextBox 13"/>
        <cdr:cNvSpPr/>
      </cdr:nvSpPr>
      <cdr:spPr>
        <a:xfrm>
          <a:off x="0" y="0"/>
          <a:ext cx="365400" cy="19836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3,41</a:t>
          </a:r>
          <a:endParaRPr b="0" sz="800" spc="-1" strike="noStrike">
            <a:latin typeface="Times New Roman"/>
          </a:endParaRPr>
        </a:p>
      </cdr:txBody>
    </cdr:sp>
  </cdr:relSizeAnchor>
  <cdr:relSizeAnchor>
    <cdr:from>
      <cdr:x>0.609554432705558</cdr:x>
      <cdr:y>0.787490156373045</cdr:y>
    </cdr:from>
    <cdr:to>
      <cdr:x>0.690662116936807</cdr:x>
      <cdr:y>0.8518393520081</cdr:y>
    </cdr:to>
    <cdr:sp>
      <cdr:nvSpPr>
        <cdr:cNvPr id="13" name="TextBox 14"/>
        <cdr:cNvSpPr/>
      </cdr:nvSpPr>
      <cdr:spPr>
        <a:xfrm>
          <a:off x="0" y="0"/>
          <a:ext cx="444960" cy="205920"/>
        </a:xfrm>
        <a:prstGeom prst="rect">
          <a:avLst/>
        </a:prstGeom>
        <a:noFill/>
        <a:ln w="0">
          <a:noFill/>
        </a:ln>
      </cdr:spPr>
      <cdr:style>
        <a:lnRef idx="0"/>
        <a:fillRef idx="0"/>
        <a:effectRef idx="0"/>
        <a:fontRef idx="minor"/>
      </cdr:style>
      <cdr:txBody>
        <a:bodyPr vertOverflow="clip" lIns="90000" rIns="90000" tIns="45000" bIns="45000" anchor="t">
          <a:noAutofit/>
        </a:bodyPr>
        <a:p>
          <a:pPr>
            <a:lnSpc>
              <a:spcPct val="100000"/>
            </a:lnSpc>
          </a:pPr>
          <a:r>
            <a:rPr b="0" lang="ru-RU" sz="800" spc="-1" strike="noStrike">
              <a:latin typeface="Times New Roman"/>
            </a:rPr>
            <a:t>3,37</a:t>
          </a:r>
          <a:endParaRPr b="0" sz="800" spc="-1" strike="noStrike">
            <a:latin typeface="Times New Roman"/>
          </a:endParaRPr>
        </a:p>
      </cdr:txBody>
    </cdr:sp>
  </cdr:relSizeAnchor>
</c:userShape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81DD9-31D7-4DB3-8886-D29BBC92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Application>LibreOffice/7.6.5.2$Windows_X86_64 LibreOffice_project/38d5f62f85355c192ef5f1dd47c5c0c0c6d6598b</Application>
  <AppVersion>15.0000</AppVersion>
  <Pages>22</Pages>
  <Words>4104</Words>
  <Characters>29573</Characters>
  <CharactersWithSpaces>33322</CharactersWithSpaces>
  <Paragraphs>581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2023-07-25T05:44:00Z</dcterms:created>
  <dc:creator>Nach-Ekonom</dc:creator>
  <dc:description/>
  <dc:language>ru-RU</dc:language>
  <cp:lastModifiedBy/>
  <cp:lastPrinted>2024-04-11T12:15:13Z</cp:lastPrinted>
  <dcterms:modified xsi:type="dcterms:W3CDTF">2024-04-11T12:24:40Z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